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709E1" w:rsidRPr="00EA2872" w:rsidRDefault="00D709E1" w:rsidP="00D70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EA2872" w:rsidP="00D70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мая 2017  г.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31</w:t>
      </w: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«Об учете муниципального имущества </w:t>
      </w: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EA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ведении</w:t>
      </w:r>
      <w:proofErr w:type="gramEnd"/>
      <w:r w:rsidRPr="00EA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реестра муниципального имущества </w:t>
      </w: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«Город Балей»</w:t>
      </w: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совершенствования порядка учета муниципального имущества и ведения реестра муниципального имущества городского поселения «Город Балей», обеспечения полноты и </w:t>
      </w: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</w:t>
      </w:r>
      <w:proofErr w:type="gramEnd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реестре муниципального имущества городского поселения «Город Балей» сведений о муниципальном имуществе городского поселения, соответствии с частью 5 статьи 51 Федерального закона от 06 октября 2009 года № 131- ФЗ «Об общих принципах организации местного самоуправления в Российской Федерации»,  руководствуясь ст.25 Устава городского поселения «Город Балей», Совет городского поселения «Город Балей» решил:</w:t>
      </w:r>
    </w:p>
    <w:p w:rsidR="00D709E1" w:rsidRPr="00EA2872" w:rsidRDefault="00D709E1" w:rsidP="00D70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«Об учете муниципального имущества и ведении реестра муниципальной собственности городского поселения «Город Балей».</w:t>
      </w:r>
    </w:p>
    <w:p w:rsidR="00D709E1" w:rsidRPr="00EA2872" w:rsidRDefault="00D709E1" w:rsidP="00D709E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городского поселения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ноября 2009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97 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учете муниципального имущества и ведении реестра муниципального имущества городского поселения «Город Балей»</w:t>
      </w:r>
    </w:p>
    <w:p w:rsidR="00D709E1" w:rsidRPr="00EA2872" w:rsidRDefault="00D709E1" w:rsidP="00D709E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D709E1" w:rsidRPr="00EA2872" w:rsidRDefault="00D709E1" w:rsidP="00D70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D709E1" w:rsidRPr="00EA2872" w:rsidRDefault="00D709E1" w:rsidP="00D70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Балей»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Л.Т.  </w:t>
      </w:r>
      <w:proofErr w:type="spell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</w:p>
    <w:p w:rsidR="00D709E1" w:rsidRPr="00EA2872" w:rsidRDefault="00D709E1" w:rsidP="00D70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09E1" w:rsidRPr="00EA2872" w:rsidRDefault="00D709E1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:rsidR="00D709E1" w:rsidRPr="00EA2872" w:rsidRDefault="00D709E1" w:rsidP="00D70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D709E1" w:rsidRPr="00EA2872" w:rsidRDefault="00D709E1" w:rsidP="00D70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</w:p>
    <w:p w:rsidR="00D709E1" w:rsidRPr="00EA2872" w:rsidRDefault="00D709E1" w:rsidP="00D70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«___» _____________  2017 г. №___ </w:t>
      </w: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учете муниципального имущества и ведении реестра муниципального имущества городского поселения «Город Балей»»</w:t>
      </w:r>
    </w:p>
    <w:p w:rsidR="00D709E1" w:rsidRPr="00EA2872" w:rsidRDefault="00D709E1" w:rsidP="00D70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9E1" w:rsidRPr="00EA2872" w:rsidRDefault="00D709E1" w:rsidP="00D709E1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порядке учета муниципального имущества и ведения реестра муниципального имущества городского поселения «Город Балей</w:t>
      </w: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Положение) устанавливает основные принципы учета и ведения реестра муниципального имущества городского поселения «Город Балей»(далее –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(</w:t>
      </w: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собственности, хозяйственного ведения, оперативного управления)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реестре.</w:t>
      </w:r>
      <w:proofErr w:type="gramEnd"/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Понятия, используемые в настоящем Положении, означают следующее: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"учет муниципального имущества" - получение, экспертиза и хранение документов, содержащих сведения о муниципальном имуществе, и внесение указанных сведений в реестр муниципального имущества в объеме, необходимом для осуществления полномочий по управлению и распоряжению муниципальным имуществом;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"реестр муниципального имущества городского поселения «Город Балей»" - муниципальная информационная система, представляющая собой организационно-упорядоченную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Объектами учета в реестре муниципального имущества городского поселения «Город Балей» являются: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Находящееся в муниципальной собственности городского поселения «Город Балей» недвижимое имущество (здани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объект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незавершенного строительства, земельны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нежил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 связанны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землей объект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перемещение котор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соразмерного ущерба его назначению невозможно, либо иное имущество, отнесенное законом к недвижимости).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4000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 </w:t>
      </w:r>
      <w:hyperlink r:id="rId6" w:history="1">
        <w:r w:rsidRPr="00EA2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 ноября 2006 г. N 174-ФЗ "Об автономных</w:t>
      </w:r>
      <w:proofErr w:type="gramEnd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", Федеральным </w:t>
      </w:r>
      <w:hyperlink r:id="rId7" w:history="1">
        <w:r w:rsidRPr="00EA2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12 января 1996 г. N 7-ФЗ "О некоммерческих организациях";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муниципальные предприятия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«Город Балей», муниципальные учреждения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«Город Балей», хозяйственные общества, товарищества, акции, доли (вклады) в уставном (складочном) капитале которых принадлежат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поселению «Город Балей»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юридические лица, учредителем (участником) которых является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 поселение  «Город Балей»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Ведение реестра осуществляется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«Город Балей».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«Город Балей»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условия, обеспечивающие предотвращение хищения, утраты, искажения и подделки информации, находящейся в реестре;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информационно-справочное обслуживание, выдавать выписки из реестра.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Реестр на электронных носителях представляет собой совокупность баз данных о муниципальном имуществе.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Документы реестра хранятся в соответствии с Федеральным </w:t>
      </w:r>
      <w:hyperlink r:id="rId8" w:history="1">
        <w:r w:rsidRPr="00EA2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22 октября 2004 г. N 125-ФЗ "Об архивном деле в Российской Федерации".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Реестр состоит из 3 разделов.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1 (Приложение № 1) включаются сведения о муниципальном недвижимом имуществе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«Город Балей», в том числе: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порядковый номер (№ </w:t>
      </w: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/п);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реестровый номер (жилые дома, квартиры – реестровые номера начинаются с букв ЖК, земельные участки – реестровые номера начинаются с букв ЗУ, нежилые здания, строения – реестровые номера начинаются с букв ЗС, инженерные сооружения – реестровые номера начинаются с букв ИС);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инвентарный номер;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недвижимого имущества;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(местоположение), кадастровый номер муниципального недвижимого имущества;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кадастровой стоимости недвижимого имущества;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 ввода в эксплуатацию;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возникновения и прекращения права муниципальной собственности на недвижимое имущество и реквизиты документов - оснований возникновения (прекращения) права муниципальной собственности на недвижимое имущество;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правообладателе муниципального недвижимого имущества;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2 (Приложение № 2) включаются сведения о муниципальном движимом имуществе, в том числе: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порядковый номер (№ </w:t>
      </w: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/п);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реестровый номер (транспортные средства – реестровые номера начинаются с букв ТС, движимое имущество – реестровые номера начинаются с букв ДИ);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инвентарный номер;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движимого имущества;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идентификационный номер (VIN)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 ввода в эксплуатацию;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даты возникновения и прекращения права муниципальной собственности на движимое имущество и реквизиты документов - оснований возникновения (прекращения) права муниципальной собственности на движимое имущество;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правообладателе муниципального движимого имущества;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номинальной стоимости акций.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3 (Приложение № 3) включаются сведения о муниципальных </w:t>
      </w:r>
      <w:r w:rsidR="0009492D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унитарных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предприятиях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«Город Балей», муниципальных учреждениях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«Город Балей», хозяйственных обществах, товариществах, акции, доли (вклады) в уставном (складочном) капитале которых принадлежат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 поселению «Город Балей»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юридических лицах, в которых муниципальное образование является учредителем (участником) (далее - юридических лица, обладающие правами на муниципальное имущество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«Город Балей»), в</w:t>
      </w:r>
      <w:proofErr w:type="gramEnd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порядковый номер (№ </w:t>
      </w: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/п);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реестровый номер;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и организационно-правовая форма юридического лица;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(местонахождение);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основной государственный регистрационный номер и дата государственной регистрации;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банковские реквизиты;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уставного фонда (для муниципальных предприятий);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среднесписочная численность работников (для муниципальных учреждений и муниципальных предприятий);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исключении из реестра.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реестр сведений об объектах учета и записей об изменении сведений о них осуществляется администрацией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«Город Балей»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(десяти) дней с момента получения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  <w:proofErr w:type="gramEnd"/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 приложением заверенных копий документов представляется в администрацию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«Город Балей»,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создании муниципальных унитарных предприятий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«Город Балей», муниципальных учреждений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«Город Балей», хозяйственных обществ и иных юридических лиц, а также об участии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«Город Балей»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юридических лицах вносятся в реестр муниципального имущества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«Город Балей»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принятых решений о создании (участии в создании) таких юридических лиц.</w:t>
      </w:r>
      <w:proofErr w:type="gramEnd"/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реестр записей об изменении сведений о муниципальных унитарных предприятиях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«Город Балей», муниципальных учреждениях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«Город Балей»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сведений. Соответствующие заявления представляются в администрацию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«Город Балей»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2-недельный срок с момента изменения сведений об объектах учета.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объектов казны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«Город Балей»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 поселением  «Город Балей»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представляются в  администрацию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«Город Балей»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 администрация 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«Город Балей»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 включения сведений об имуществе в реестр.</w:t>
      </w:r>
      <w:proofErr w:type="gramEnd"/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 администрации Городского поселения «Город Балей»</w:t>
      </w:r>
      <w:r w:rsidR="00830677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контроля за полнотой, достоверностью и своевременностью предоставления информации об объектах учета, находящихся в реестре, правообладатели объектов учета, принадлежащих им на соответствующем вещном праве, ежегодно, до 10 февраля текущего года, представляют в администрацию </w:t>
      </w:r>
      <w:r w:rsidR="00987148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«Город Балей»</w:t>
      </w:r>
      <w:r w:rsidR="00987148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бумажных и электронных носителях сведения обо всех объектах учета, находящихся у них на соответствующем вещном праве.</w:t>
      </w:r>
      <w:proofErr w:type="gramEnd"/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Документом, подтверждающим факт нахождения объекта учета в реестре, является выписка из реестра.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987148" w:rsidRPr="00EA2872" w:rsidRDefault="00D709E1" w:rsidP="00EA28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hAnsi="Times New Roman" w:cs="Times New Roman"/>
          <w:sz w:val="28"/>
          <w:szCs w:val="28"/>
          <w:lang w:eastAsia="ru-RU"/>
        </w:rPr>
        <w:t>Предоставл</w:t>
      </w:r>
      <w:r w:rsidR="00987148" w:rsidRPr="00EA2872">
        <w:rPr>
          <w:rFonts w:ascii="Times New Roman" w:hAnsi="Times New Roman" w:cs="Times New Roman"/>
          <w:sz w:val="28"/>
          <w:szCs w:val="28"/>
          <w:lang w:eastAsia="ru-RU"/>
        </w:rPr>
        <w:t>ение сведений об объектах учета осуществляется</w:t>
      </w:r>
      <w:r w:rsidRPr="00EA287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87148" w:rsidRPr="00EA28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A2872">
        <w:rPr>
          <w:rFonts w:ascii="Times New Roman" w:hAnsi="Times New Roman" w:cs="Times New Roman"/>
          <w:sz w:val="28"/>
          <w:szCs w:val="28"/>
          <w:lang w:eastAsia="ru-RU"/>
        </w:rPr>
        <w:t>дминистрацией</w:t>
      </w:r>
    </w:p>
    <w:p w:rsidR="00D709E1" w:rsidRPr="00EA2872" w:rsidRDefault="00D709E1" w:rsidP="00EA287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87148" w:rsidRPr="00EA287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A2872">
        <w:rPr>
          <w:rFonts w:ascii="Times New Roman" w:hAnsi="Times New Roman" w:cs="Times New Roman"/>
          <w:sz w:val="28"/>
          <w:szCs w:val="28"/>
          <w:lang w:eastAsia="ru-RU"/>
        </w:rPr>
        <w:t>ородского поселения «Город Балей», на основании письменных запросов в 10-дневный срок со дня поступления запроса.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Выписка из реестра содержит реестровый номер объекта учета, иные достаточные для идентификации объекта учета сведения по их состоянию в реестре на дату выдачи выписки из него.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Выписке из реестра присваивается порядковый номер, который отражается в Журнале регистрации выписок из реестра муниципального имущества </w:t>
      </w:r>
      <w:r w:rsidR="00987148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4), а также дата выдачи выписки из реестра.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09E1" w:rsidRPr="00EA2872" w:rsidSect="00D709E1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09E1" w:rsidRPr="00EA2872" w:rsidRDefault="00987148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D709E1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</w:t>
      </w:r>
    </w:p>
    <w:p w:rsidR="00D709E1" w:rsidRPr="00EA2872" w:rsidRDefault="00D709E1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987148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поселения</w:t>
      </w:r>
    </w:p>
    <w:p w:rsidR="00987148" w:rsidRPr="00EA2872" w:rsidRDefault="00987148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Балей»</w:t>
      </w:r>
    </w:p>
    <w:p w:rsidR="00EA2872" w:rsidRDefault="00EA2872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«26» мая 2017  г. №   31</w:t>
      </w:r>
    </w:p>
    <w:p w:rsidR="00D709E1" w:rsidRPr="00EA2872" w:rsidRDefault="00D709E1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09E1" w:rsidRPr="00EA2872" w:rsidRDefault="00D709E1" w:rsidP="0098714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Раздел.  Сведения о муниципальном недвижимом имуществе </w:t>
      </w:r>
      <w:r w:rsidR="00987148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52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69"/>
        <w:gridCol w:w="1152"/>
        <w:gridCol w:w="1439"/>
        <w:gridCol w:w="1727"/>
        <w:gridCol w:w="2016"/>
        <w:gridCol w:w="1439"/>
        <w:gridCol w:w="995"/>
        <w:gridCol w:w="851"/>
        <w:gridCol w:w="1417"/>
        <w:gridCol w:w="1418"/>
        <w:gridCol w:w="992"/>
        <w:gridCol w:w="709"/>
      </w:tblGrid>
      <w:tr w:rsidR="00EA2872" w:rsidRPr="00EA2872" w:rsidTr="00987148">
        <w:trPr>
          <w:trHeight w:val="2424"/>
          <w:tblCellSpacing w:w="0" w:type="dxa"/>
        </w:trPr>
        <w:tc>
          <w:tcPr>
            <w:tcW w:w="628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69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Реестровый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номер</w:t>
            </w:r>
          </w:p>
        </w:tc>
        <w:tc>
          <w:tcPr>
            <w:tcW w:w="1152" w:type="dxa"/>
            <w:vAlign w:val="center"/>
            <w:hideMark/>
          </w:tcPr>
          <w:p w:rsidR="00D709E1" w:rsidRPr="00EA2872" w:rsidRDefault="00987148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</w:t>
            </w:r>
            <w:r w:rsidR="00D709E1"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номер</w:t>
            </w:r>
          </w:p>
        </w:tc>
        <w:tc>
          <w:tcPr>
            <w:tcW w:w="1439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недвижимого имущества</w:t>
            </w:r>
          </w:p>
        </w:tc>
        <w:tc>
          <w:tcPr>
            <w:tcW w:w="1727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(местоположение), кадастровый номер муниципального недвижимого имущества</w:t>
            </w:r>
          </w:p>
        </w:tc>
        <w:tc>
          <w:tcPr>
            <w:tcW w:w="2016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характеризирующие физические свойства недвижимого имущества</w:t>
            </w:r>
          </w:p>
        </w:tc>
        <w:tc>
          <w:tcPr>
            <w:tcW w:w="1439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стоимость и начисленная амортизация, износ (руб.)</w:t>
            </w:r>
          </w:p>
        </w:tc>
        <w:tc>
          <w:tcPr>
            <w:tcW w:w="995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стоимость (руб.)</w:t>
            </w:r>
          </w:p>
        </w:tc>
        <w:tc>
          <w:tcPr>
            <w:tcW w:w="851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1417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реквизиты документа -  основания  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возникновения права муниципальной собственности на недвижимое имущество</w:t>
            </w:r>
          </w:p>
        </w:tc>
        <w:tc>
          <w:tcPr>
            <w:tcW w:w="1418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реквизиты документа -  основания  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прекращения права муниципальной собственности на недвижимое имущество</w:t>
            </w:r>
          </w:p>
        </w:tc>
        <w:tc>
          <w:tcPr>
            <w:tcW w:w="992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  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балансодержателя</w:t>
            </w:r>
          </w:p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(правообладателя)</w:t>
            </w:r>
          </w:p>
        </w:tc>
        <w:tc>
          <w:tcPr>
            <w:tcW w:w="709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 (обременения)</w:t>
            </w:r>
          </w:p>
        </w:tc>
      </w:tr>
      <w:tr w:rsidR="00EA2872" w:rsidRPr="00EA2872" w:rsidTr="00987148">
        <w:trPr>
          <w:trHeight w:val="449"/>
          <w:tblCellSpacing w:w="0" w:type="dxa"/>
        </w:trPr>
        <w:tc>
          <w:tcPr>
            <w:tcW w:w="628" w:type="dxa"/>
            <w:tcBorders>
              <w:top w:val="single" w:sz="4" w:space="0" w:color="auto"/>
            </w:tcBorders>
          </w:tcPr>
          <w:p w:rsidR="00987148" w:rsidRPr="00EA2872" w:rsidRDefault="00987148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987148" w:rsidRPr="00EA2872" w:rsidRDefault="00987148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87148" w:rsidRPr="00EA2872" w:rsidRDefault="00987148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987148" w:rsidRPr="00EA2872" w:rsidRDefault="00987148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987148" w:rsidRPr="00EA2872" w:rsidRDefault="00987148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987148" w:rsidRPr="00EA2872" w:rsidRDefault="00987148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987148" w:rsidRPr="00EA2872" w:rsidRDefault="00987148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87148" w:rsidRPr="00EA2872" w:rsidRDefault="00987148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7148" w:rsidRPr="00EA2872" w:rsidRDefault="00987148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7148" w:rsidRPr="00EA2872" w:rsidRDefault="00987148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7148" w:rsidRPr="00EA2872" w:rsidRDefault="00987148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148" w:rsidRPr="00EA2872" w:rsidRDefault="00987148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148" w:rsidRPr="00EA2872" w:rsidRDefault="00987148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</w:tbl>
    <w:p w:rsidR="00D709E1" w:rsidRPr="00EA2872" w:rsidRDefault="00D709E1" w:rsidP="00D709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09E1" w:rsidRPr="00EA2872" w:rsidRDefault="00D709E1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148" w:rsidRPr="00EA2872" w:rsidRDefault="00987148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48" w:rsidRPr="00EA2872" w:rsidRDefault="00987148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48" w:rsidRPr="00EA2872" w:rsidRDefault="00987148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48" w:rsidRPr="00EA2872" w:rsidRDefault="00987148" w:rsidP="0098714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C4BE8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87148" w:rsidRPr="00EA2872" w:rsidRDefault="00987148" w:rsidP="0098714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городского поселения</w:t>
      </w:r>
    </w:p>
    <w:p w:rsidR="00987148" w:rsidRPr="00EA2872" w:rsidRDefault="00987148" w:rsidP="0098714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Балей»</w:t>
      </w:r>
    </w:p>
    <w:p w:rsidR="00EA2872" w:rsidRDefault="00EA2872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«26» мая 2017  г. №   31</w:t>
      </w:r>
    </w:p>
    <w:p w:rsidR="00D709E1" w:rsidRPr="00EA2872" w:rsidRDefault="00D709E1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09E1" w:rsidRPr="00EA2872" w:rsidRDefault="00D709E1" w:rsidP="0098714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Раздел.  Сведения о муниципальном движимом имуществе </w:t>
      </w:r>
      <w:r w:rsidR="00987148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</w:p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593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605"/>
        <w:gridCol w:w="1134"/>
        <w:gridCol w:w="1559"/>
        <w:gridCol w:w="1701"/>
        <w:gridCol w:w="1559"/>
        <w:gridCol w:w="1418"/>
        <w:gridCol w:w="1559"/>
        <w:gridCol w:w="2126"/>
        <w:gridCol w:w="1843"/>
        <w:gridCol w:w="1417"/>
      </w:tblGrid>
      <w:tr w:rsidR="00EA2872" w:rsidRPr="00EA2872" w:rsidTr="006C4BE8">
        <w:trPr>
          <w:tblCellSpacing w:w="0" w:type="dxa"/>
        </w:trPr>
        <w:tc>
          <w:tcPr>
            <w:tcW w:w="672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05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Реестровый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номер</w:t>
            </w:r>
          </w:p>
        </w:tc>
        <w:tc>
          <w:tcPr>
            <w:tcW w:w="1134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559" w:type="dxa"/>
            <w:vAlign w:val="center"/>
            <w:hideMark/>
          </w:tcPr>
          <w:p w:rsidR="00D709E1" w:rsidRPr="00EA2872" w:rsidRDefault="00D709E1" w:rsidP="0098714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  движимого имущества</w:t>
            </w:r>
          </w:p>
        </w:tc>
        <w:tc>
          <w:tcPr>
            <w:tcW w:w="1701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стоимость и начисленная амортизация, износ (руб.)</w:t>
            </w:r>
          </w:p>
        </w:tc>
        <w:tc>
          <w:tcPr>
            <w:tcW w:w="1559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</w:t>
            </w:r>
          </w:p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(VIN)</w:t>
            </w:r>
          </w:p>
        </w:tc>
        <w:tc>
          <w:tcPr>
            <w:tcW w:w="1418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реквизиты документа -  основания  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возникновения права муниципальной собственности на движимое имущество</w:t>
            </w:r>
          </w:p>
        </w:tc>
        <w:tc>
          <w:tcPr>
            <w:tcW w:w="2126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реквизиты документа -  основания  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прекращения права муниципальной собственности на движимое имущество</w:t>
            </w:r>
          </w:p>
        </w:tc>
        <w:tc>
          <w:tcPr>
            <w:tcW w:w="1843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  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балансодержателя</w:t>
            </w:r>
          </w:p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(правообладателя)</w:t>
            </w:r>
          </w:p>
        </w:tc>
        <w:tc>
          <w:tcPr>
            <w:tcW w:w="1417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 (обременения)</w:t>
            </w:r>
          </w:p>
        </w:tc>
      </w:tr>
      <w:tr w:rsidR="00EA2872" w:rsidRPr="00EA2872" w:rsidTr="006C4BE8">
        <w:trPr>
          <w:tblCellSpacing w:w="0" w:type="dxa"/>
        </w:trPr>
        <w:tc>
          <w:tcPr>
            <w:tcW w:w="672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5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</w:tbl>
    <w:p w:rsidR="00D709E1" w:rsidRPr="00EA2872" w:rsidRDefault="00D709E1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09E1" w:rsidRPr="00EA2872" w:rsidRDefault="00D709E1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148" w:rsidRPr="00EA2872" w:rsidRDefault="00987148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48" w:rsidRPr="00EA2872" w:rsidRDefault="00987148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48" w:rsidRPr="00EA2872" w:rsidRDefault="00987148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48" w:rsidRPr="00EA2872" w:rsidRDefault="00987148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E8" w:rsidRPr="00EA2872" w:rsidRDefault="006C4BE8" w:rsidP="006C4BE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6C4BE8" w:rsidRPr="00EA2872" w:rsidRDefault="006C4BE8" w:rsidP="006C4BE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городского поселения</w:t>
      </w:r>
    </w:p>
    <w:p w:rsidR="006C4BE8" w:rsidRPr="00EA2872" w:rsidRDefault="006C4BE8" w:rsidP="006C4BE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Балей»</w:t>
      </w:r>
    </w:p>
    <w:p w:rsidR="00D709E1" w:rsidRPr="00EA2872" w:rsidRDefault="00EA2872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«26» мая 2017  г. №   31</w:t>
      </w:r>
      <w:r w:rsidR="00D709E1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09E1" w:rsidRPr="00EA2872" w:rsidRDefault="00D709E1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09E1" w:rsidRPr="00EA2872" w:rsidRDefault="00D709E1" w:rsidP="00D709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Раздел. Сведения об юридических лицах, обладающие правами </w:t>
      </w:r>
      <w:proofErr w:type="gramStart"/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709E1" w:rsidRPr="00EA2872" w:rsidRDefault="00D709E1" w:rsidP="00D709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</w:t>
      </w:r>
      <w:r w:rsidR="006C4BE8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</w:p>
    <w:p w:rsidR="00D709E1" w:rsidRPr="00EA2872" w:rsidRDefault="00D709E1" w:rsidP="00D709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735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510"/>
        <w:gridCol w:w="1275"/>
        <w:gridCol w:w="1134"/>
        <w:gridCol w:w="993"/>
        <w:gridCol w:w="1275"/>
        <w:gridCol w:w="851"/>
        <w:gridCol w:w="709"/>
        <w:gridCol w:w="708"/>
        <w:gridCol w:w="567"/>
        <w:gridCol w:w="426"/>
        <w:gridCol w:w="1275"/>
        <w:gridCol w:w="993"/>
        <w:gridCol w:w="1134"/>
        <w:gridCol w:w="1275"/>
        <w:gridCol w:w="851"/>
        <w:gridCol w:w="992"/>
      </w:tblGrid>
      <w:tr w:rsidR="00EA2872" w:rsidRPr="00EA2872" w:rsidTr="006C4BE8">
        <w:trPr>
          <w:tblCellSpacing w:w="0" w:type="dxa"/>
        </w:trPr>
        <w:tc>
          <w:tcPr>
            <w:tcW w:w="767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0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275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</w:t>
            </w:r>
            <w:proofErr w:type="spellStart"/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</w:t>
            </w:r>
            <w:proofErr w:type="spellEnd"/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но-правовая</w:t>
            </w:r>
            <w:proofErr w:type="gramEnd"/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 юр. лица</w:t>
            </w:r>
          </w:p>
        </w:tc>
        <w:tc>
          <w:tcPr>
            <w:tcW w:w="1134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</w:t>
            </w:r>
            <w:proofErr w:type="spellEnd"/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дение</w:t>
            </w:r>
            <w:proofErr w:type="spellEnd"/>
            <w:proofErr w:type="gramEnd"/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и дата гос. регистрации</w:t>
            </w:r>
          </w:p>
        </w:tc>
        <w:tc>
          <w:tcPr>
            <w:tcW w:w="1275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  <w:proofErr w:type="spellStart"/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 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регистрации</w:t>
            </w:r>
          </w:p>
        </w:tc>
        <w:tc>
          <w:tcPr>
            <w:tcW w:w="851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ОКПО</w:t>
            </w:r>
          </w:p>
        </w:tc>
        <w:tc>
          <w:tcPr>
            <w:tcW w:w="709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708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ОКАТО</w:t>
            </w:r>
          </w:p>
        </w:tc>
        <w:tc>
          <w:tcPr>
            <w:tcW w:w="567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26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1275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уставного фонда (для муниципальных предприятий)</w:t>
            </w:r>
          </w:p>
        </w:tc>
        <w:tc>
          <w:tcPr>
            <w:tcW w:w="993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доли МО в уставном капитале (для хоз. обществ и товариществ)</w:t>
            </w:r>
          </w:p>
        </w:tc>
        <w:tc>
          <w:tcPr>
            <w:tcW w:w="1134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стоимость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основных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средств, для МУ и МУП 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75" w:type="dxa"/>
            <w:vAlign w:val="center"/>
            <w:hideMark/>
          </w:tcPr>
          <w:p w:rsidR="00D709E1" w:rsidRPr="00EA2872" w:rsidRDefault="00D709E1" w:rsidP="006C4BE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     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стоимость основных средств, для МУ и МУП 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(тыс. руб.)</w:t>
            </w:r>
          </w:p>
        </w:tc>
        <w:tc>
          <w:tcPr>
            <w:tcW w:w="851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работников, для МУ и МУП</w:t>
            </w:r>
          </w:p>
        </w:tc>
        <w:tc>
          <w:tcPr>
            <w:tcW w:w="992" w:type="dxa"/>
            <w:vAlign w:val="center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    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исключении</w:t>
            </w: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 Реестра</w:t>
            </w:r>
          </w:p>
        </w:tc>
      </w:tr>
      <w:tr w:rsidR="00EA2872" w:rsidRPr="00EA2872" w:rsidTr="006C4BE8">
        <w:trPr>
          <w:tblCellSpacing w:w="0" w:type="dxa"/>
        </w:trPr>
        <w:tc>
          <w:tcPr>
            <w:tcW w:w="767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</w:tbl>
    <w:p w:rsidR="00D709E1" w:rsidRPr="00EA2872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09E1" w:rsidRDefault="00D709E1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872" w:rsidRPr="00EA2872" w:rsidRDefault="00EA2872" w:rsidP="00D709E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4BE8" w:rsidRPr="00EA2872" w:rsidRDefault="006C4BE8" w:rsidP="006C4BE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6C4BE8" w:rsidRPr="00EA2872" w:rsidRDefault="006C4BE8" w:rsidP="006C4BE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городского поселения</w:t>
      </w:r>
    </w:p>
    <w:p w:rsidR="006C4BE8" w:rsidRPr="00EA2872" w:rsidRDefault="006C4BE8" w:rsidP="006C4BE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Балей»</w:t>
      </w:r>
    </w:p>
    <w:p w:rsidR="006C4BE8" w:rsidRPr="00EA2872" w:rsidRDefault="006C4BE8" w:rsidP="006C4BE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г. №   </w:t>
      </w:r>
      <w:r w:rsid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9E1" w:rsidRPr="00EA2872" w:rsidRDefault="00D709E1" w:rsidP="00D709E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09E1" w:rsidRPr="00EA2872" w:rsidRDefault="00D709E1" w:rsidP="00D709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выписок из реестра муниципального имущества </w:t>
      </w:r>
      <w:r w:rsidR="006C4BE8"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</w:p>
    <w:p w:rsidR="00D709E1" w:rsidRPr="00EA2872" w:rsidRDefault="00D709E1" w:rsidP="00D709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4197"/>
        <w:gridCol w:w="4491"/>
        <w:gridCol w:w="3723"/>
      </w:tblGrid>
      <w:tr w:rsidR="00EA2872" w:rsidRPr="00EA2872" w:rsidTr="00D709E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proofErr w:type="gramStart"/>
            <w:r w:rsidRPr="00E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адрес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Номер, дата документа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 </w:t>
            </w:r>
            <w:proofErr w:type="gramStart"/>
            <w:r w:rsidRPr="00E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</w:t>
            </w:r>
            <w:proofErr w:type="gramEnd"/>
          </w:p>
        </w:tc>
      </w:tr>
      <w:tr w:rsidR="00EA2872" w:rsidRPr="00EA2872" w:rsidTr="00D709E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9E1" w:rsidRPr="00EA2872" w:rsidRDefault="00D709E1" w:rsidP="00D709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709E1" w:rsidRPr="00EA2872" w:rsidRDefault="00D709E1" w:rsidP="00D70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B6B" w:rsidRPr="00EA2872" w:rsidRDefault="00EA2872" w:rsidP="00D709E1">
      <w:pPr>
        <w:shd w:val="clear" w:color="auto" w:fill="F6F6F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tgtFrame="_blank" w:tooltip="Наш сайт валидный CSS" w:history="1">
        <w:r w:rsidR="00D709E1" w:rsidRPr="00EA287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</w:hyperlink>
    </w:p>
    <w:sectPr w:rsidR="00414B6B" w:rsidRPr="00EA2872" w:rsidSect="00987148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89"/>
    <w:multiLevelType w:val="hybridMultilevel"/>
    <w:tmpl w:val="E3EC81DA"/>
    <w:lvl w:ilvl="0" w:tplc="326233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90C5358"/>
    <w:multiLevelType w:val="hybridMultilevel"/>
    <w:tmpl w:val="B712C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C17222"/>
    <w:multiLevelType w:val="multilevel"/>
    <w:tmpl w:val="BFE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E1"/>
    <w:rsid w:val="0009492D"/>
    <w:rsid w:val="00414B6B"/>
    <w:rsid w:val="006C4BE8"/>
    <w:rsid w:val="00830677"/>
    <w:rsid w:val="00987148"/>
    <w:rsid w:val="00D709E1"/>
    <w:rsid w:val="00DA04AB"/>
    <w:rsid w:val="00E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2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2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3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2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575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11161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42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436553">
          <w:marLeft w:val="0"/>
          <w:marRight w:val="0"/>
          <w:marTop w:val="0"/>
          <w:marBottom w:val="0"/>
          <w:divBdr>
            <w:top w:val="single" w:sz="3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626A2A216AD98ACAA4D88C5568C2B95F27F36C1F5A2193E3A8E3A33KFv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A626A2A216AD98ACAA4D88C5568C2B95F2753EC8FDA2193E3A8E3A33KFv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A626A2A216AD98ACAA4D88C5568C2B95F57530C0FDA2193E3A8E3A33KFvD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igsaw.w3.org/css-validator/check/refer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2</cp:revision>
  <cp:lastPrinted>2017-05-24T05:14:00Z</cp:lastPrinted>
  <dcterms:created xsi:type="dcterms:W3CDTF">2017-11-20T08:31:00Z</dcterms:created>
  <dcterms:modified xsi:type="dcterms:W3CDTF">2017-11-20T08:31:00Z</dcterms:modified>
</cp:coreProperties>
</file>